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211"/>
        <w:gridCol w:w="4253"/>
      </w:tblGrid>
      <w:tr w:rsidR="00AB7AC7" w:rsidRPr="00907CB5" w:rsidTr="00A312C4">
        <w:tc>
          <w:tcPr>
            <w:tcW w:w="5211" w:type="dxa"/>
          </w:tcPr>
          <w:p w:rsidR="00AB7AC7" w:rsidRPr="00907CB5" w:rsidRDefault="00AB7AC7" w:rsidP="00A312C4">
            <w:pPr>
              <w:jc w:val="right"/>
            </w:pPr>
          </w:p>
        </w:tc>
        <w:tc>
          <w:tcPr>
            <w:tcW w:w="4253" w:type="dxa"/>
          </w:tcPr>
          <w:p w:rsidR="00AB7AC7" w:rsidRPr="00F858E4" w:rsidRDefault="00AB7AC7" w:rsidP="00A312C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  <w:r w:rsidRPr="00F858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B7AC7" w:rsidRPr="00F858E4" w:rsidRDefault="00AB7AC7" w:rsidP="00A312C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8E4">
              <w:rPr>
                <w:rFonts w:ascii="Times New Roman" w:hAnsi="Times New Roman" w:cs="Times New Roman"/>
                <w:sz w:val="24"/>
                <w:szCs w:val="24"/>
              </w:rPr>
              <w:t xml:space="preserve"> КГБУ </w:t>
            </w:r>
            <w:proofErr w:type="gramStart"/>
            <w:r w:rsidRPr="00F858E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858E4">
              <w:rPr>
                <w:rFonts w:ascii="Times New Roman" w:hAnsi="Times New Roman" w:cs="Times New Roman"/>
                <w:sz w:val="24"/>
                <w:szCs w:val="24"/>
              </w:rPr>
              <w:t xml:space="preserve"> «Психоневрологический </w:t>
            </w:r>
          </w:p>
          <w:p w:rsidR="00AB7AC7" w:rsidRPr="00F858E4" w:rsidRDefault="00AB7AC7" w:rsidP="00A312C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8E4">
              <w:rPr>
                <w:rFonts w:ascii="Times New Roman" w:hAnsi="Times New Roman" w:cs="Times New Roman"/>
                <w:sz w:val="24"/>
                <w:szCs w:val="24"/>
              </w:rPr>
              <w:t>интернат для детей «Родничок»</w:t>
            </w:r>
          </w:p>
          <w:p w:rsidR="00AB7AC7" w:rsidRPr="00F858E4" w:rsidRDefault="00AB7AC7" w:rsidP="00A312C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8E4">
              <w:rPr>
                <w:rFonts w:ascii="Times New Roman" w:hAnsi="Times New Roman" w:cs="Times New Roman"/>
                <w:sz w:val="24"/>
                <w:szCs w:val="24"/>
              </w:rPr>
              <w:t xml:space="preserve">___________ В.В. </w:t>
            </w:r>
            <w:proofErr w:type="spellStart"/>
            <w:r w:rsidRPr="00F858E4">
              <w:rPr>
                <w:rFonts w:ascii="Times New Roman" w:hAnsi="Times New Roman" w:cs="Times New Roman"/>
                <w:sz w:val="24"/>
                <w:szCs w:val="24"/>
              </w:rPr>
              <w:t>Запеченко</w:t>
            </w:r>
            <w:proofErr w:type="spellEnd"/>
          </w:p>
          <w:p w:rsidR="00AB7AC7" w:rsidRPr="00907CB5" w:rsidRDefault="00AB7AC7" w:rsidP="00A312C4">
            <w:pPr>
              <w:spacing w:after="0"/>
              <w:jc w:val="right"/>
            </w:pPr>
            <w:r w:rsidRPr="00F858E4">
              <w:rPr>
                <w:rFonts w:ascii="Times New Roman" w:hAnsi="Times New Roman" w:cs="Times New Roman"/>
                <w:sz w:val="24"/>
                <w:szCs w:val="24"/>
              </w:rPr>
              <w:t>"04" мая 2021г</w:t>
            </w:r>
          </w:p>
        </w:tc>
      </w:tr>
    </w:tbl>
    <w:p w:rsidR="00AB7AC7" w:rsidRDefault="00AB7AC7" w:rsidP="00325C81">
      <w:pPr>
        <w:shd w:val="clear" w:color="auto" w:fill="FFFFFF" w:themeFill="background1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рабочей группе по противодействию экстремистской и террористической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деятельности в </w:t>
      </w:r>
      <w:r w:rsidRPr="00325C81">
        <w:rPr>
          <w:rFonts w:ascii="Times New Roman" w:hAnsi="Times New Roman" w:cs="Times New Roman"/>
          <w:sz w:val="24"/>
          <w:szCs w:val="24"/>
        </w:rPr>
        <w:t xml:space="preserve">КГБУ </w:t>
      </w:r>
      <w:proofErr w:type="gramStart"/>
      <w:r w:rsidRPr="00325C8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25C81">
        <w:rPr>
          <w:rFonts w:ascii="Times New Roman" w:hAnsi="Times New Roman" w:cs="Times New Roman"/>
          <w:sz w:val="24"/>
          <w:szCs w:val="24"/>
        </w:rPr>
        <w:t xml:space="preserve"> «</w:t>
      </w:r>
      <w:r w:rsidRPr="00325C81">
        <w:rPr>
          <w:rFonts w:ascii="Times New Roman" w:eastAsia="Calibri" w:hAnsi="Times New Roman" w:cs="Times New Roman"/>
          <w:sz w:val="24"/>
          <w:szCs w:val="24"/>
        </w:rPr>
        <w:t>Психоневрологический интернат для детей «Родничок</w:t>
      </w:r>
      <w:r w:rsidRPr="00325C81">
        <w:rPr>
          <w:rFonts w:ascii="Times New Roman" w:hAnsi="Times New Roman" w:cs="Times New Roman"/>
          <w:sz w:val="24"/>
          <w:szCs w:val="24"/>
        </w:rPr>
        <w:t>»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5C81" w:rsidRDefault="00325C81" w:rsidP="00325C81">
      <w:pPr>
        <w:shd w:val="clear" w:color="auto" w:fill="FFFFFF" w:themeFill="background1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группа по противодействию и профилактике экстремизма, терроризма и других асоциальных проявлений среди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получателей социальных услуг 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5C81">
        <w:rPr>
          <w:rFonts w:ascii="Times New Roman" w:hAnsi="Times New Roman" w:cs="Times New Roman"/>
          <w:sz w:val="24"/>
          <w:szCs w:val="24"/>
        </w:rPr>
        <w:t xml:space="preserve">КГБУ </w:t>
      </w:r>
      <w:proofErr w:type="gramStart"/>
      <w:r w:rsidRPr="00325C8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25C81">
        <w:rPr>
          <w:rFonts w:ascii="Times New Roman" w:hAnsi="Times New Roman" w:cs="Times New Roman"/>
          <w:sz w:val="24"/>
          <w:szCs w:val="24"/>
        </w:rPr>
        <w:t xml:space="preserve"> «</w:t>
      </w:r>
      <w:r w:rsidRPr="00325C81">
        <w:rPr>
          <w:rFonts w:ascii="Times New Roman" w:eastAsia="Calibri" w:hAnsi="Times New Roman" w:cs="Times New Roman"/>
          <w:sz w:val="24"/>
          <w:szCs w:val="24"/>
        </w:rPr>
        <w:t>Психоневрологический интернат для детей «Родничок</w:t>
      </w:r>
      <w:r w:rsidRPr="00325C81">
        <w:rPr>
          <w:rFonts w:ascii="Times New Roman" w:hAnsi="Times New Roman" w:cs="Times New Roman"/>
          <w:sz w:val="24"/>
          <w:szCs w:val="24"/>
        </w:rPr>
        <w:t>»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воспитанию толерантного отношения</w:t>
      </w:r>
      <w:r w:rsidR="00061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сотрудников (получателей социальных услуг)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гражданам иной национальности создается для координации взаимодействи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сотрудников и 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социально-психологической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обстановки учреждения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5C81" w:rsidRPr="00325C81" w:rsidRDefault="00325C81" w:rsidP="00325C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группа по противодействию экстремистской и террористической деятельности образуется в соответствии с Федеральным законом от 25.07.2002 №114-ФЗ (в ред. от 29.04.2008) "О противодействии экстремистской деятельности" и Федеральным законом от 06.03.06 №35-Ф3 «О противодействии терроризму».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группа создается на основании приказа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группа в своей деятельности руководствуется Конституцией Российской Федерации, действующим законодательством, указами Президента Российской Федерации, постановлениями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другими нормативными правовыми актами, а также настоящим Положением.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Основные задачи, функции и права Рабочей группы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Основными задачами Рабочей группы являются: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разработка системы организационных, социальных, правовых и иных мер, направленных на реализацию государственной политики в области противодействия и профилактики экстремизма, терроризма и других асоциальных проявлений среди </w:t>
      </w:r>
      <w:r w:rsidR="00823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получателей социальных услуг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обеспечение взаимодействия между </w:t>
      </w:r>
      <w:r w:rsidR="00061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сотрудниками (получателями социальных услуг)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разработке и реализации мероприятий, направленных на противодействие и профилактику экстремизма, терроризма и других асоциальных проявлений среди учащихся;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организация целенаправленной работы по противодействию и профилактике экстремизма, терроризма и других асоциальных проявлений среди </w:t>
      </w:r>
      <w:r w:rsidR="00061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 (получателей социальных услуг)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воспитанию толерантного отношения к гражданам иной национальности;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анализ проводимых в </w:t>
      </w:r>
      <w:r w:rsidR="00823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связанных с противодействием и профилактикой экстремизма, терроризма и других асоциальных проявлений среди </w:t>
      </w:r>
      <w:r w:rsidR="00061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 (получателей социальных услуг)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оценка их эффективности, подготовка предложений по улучшению работы в данной сфере деятельности;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подготовка предложений по совершенствованию работы, связанной с противодействием и профилактикой экстремизма, терроризма и других асоциальных проявлений среди населения.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Рабочая группа для выполнения возложенных на неё задач осуществляет следующие функции: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системы мероприятий, включающих в приоритетном порядке осуществление профилактических, в том числе воспитательных и пропагандистских мер, направленных на предупреждение экстремистской деятельности и противодействия терроризму;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- внесение предложений по совершенствованию механизма профилактики и противодействия экстремизму и терроризму и другим асоциальным проявлениям среди </w:t>
      </w:r>
      <w:r w:rsidR="00061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 (получателей социальных услуг)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- выработки приоритетов и направлений профилактической и воспитательной работы </w:t>
      </w:r>
      <w:r w:rsidR="00823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недопущению проявлений экстремизма, терроризма и национализма в подростковой и молодежной среде;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- осуществления </w:t>
      </w:r>
      <w:proofErr w:type="gramStart"/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выполнения плана мероприятий по профилактике и противодействию экстремизму, терроризму и другим асоциальным проявлениям среди </w:t>
      </w:r>
      <w:r w:rsidR="00823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получателей социальных услуг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воспитанию толерантного отношения к гражданам иной национальности.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Для реализации своих задач Рабочая группа имеет право: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принимать в пределах своей компетенции решения, направленные на организацию и совершенствование взаимодействия между структурами в области противодействия экстремистской и террористической деятельности в </w:t>
      </w:r>
      <w:r w:rsidR="00823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приглашать на заседания Комиссии представителей органов местного самоуправления, правоохранительных органов, муниципальных предприятий и учреждений, общественных организаций для участия в рассмотрении вопросов, относящихся к компетенции Комиссии;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Структура, регламент работы и организация деятельности Рабочей группы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3.1. Комиссия формируется в составе: председателя Рабочей группы, заместителя председателя Рабочей группы, членов Рабочей группы.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Председатель Рабочей группы: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руководит деятельностью Рабочей группы, распределяет обязанности между членами Рабочей группы и несёт персональную ответственность за выполнение возложенных на Рабочую группу задач;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согласует план работы Рабочей группы на год, повестку заседаний Рабочей группы, регламент заседаний Рабочей группы, протоколы заседаний Рабочей группы, отчёт о деятельности Рабочей группы за год;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определяет порядок проведения и проводит заседания Рабочей группы, принимает решения о проведении внеочередных заседаний Рабочей группы при возникновении необходимости безотлагательного рассмотрения вопросов, относящихся к её компетенции;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представляет Рабочую группу по вопросам, относящимся к её компетенции.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Рабочая группа осуществляет свою деятельность в соответствии с планами работы, которые принимаются на заседании Рабочей </w:t>
      </w:r>
      <w:proofErr w:type="gramStart"/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proofErr w:type="gramEnd"/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согласовывается её председателем. Порядок работы Рабочей группы</w:t>
      </w:r>
      <w:r w:rsidR="00823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отдельным вопросам определяется её председателем.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Заседания Рабочей группы проводятся на плановой основе, но не реже одного раза в </w:t>
      </w:r>
      <w:r w:rsidR="00823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период между заседаниями Рабочей группы решения принимаются председателем Рабочей группы.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Заседания Рабочей группы проводит председатель, а в его отсутствие – заместитель председателя Рабочей группы по поручению председателя Рабочей группы.</w:t>
      </w:r>
    </w:p>
    <w:p w:rsidR="00325C81" w:rsidRPr="00325C81" w:rsidRDefault="00325C81" w:rsidP="00325C81">
      <w:pPr>
        <w:shd w:val="clear" w:color="auto" w:fill="FFFFFF" w:themeFill="background1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Подготовка материалов к заседанию Рабочей группы осуществляется представителями тех </w:t>
      </w:r>
      <w:r w:rsidR="00A9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подразделений</w:t>
      </w:r>
      <w:r w:rsidR="00823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="00A9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направле</w:t>
      </w: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которых относятся вопросы повестки заседания. Материалы должны быть представлены в Рабочую группу не позднее, чем за 5 дней до дня проведения заседания.</w:t>
      </w:r>
    </w:p>
    <w:p w:rsidR="00325C81" w:rsidRDefault="00325C81" w:rsidP="00AB7AC7">
      <w:pPr>
        <w:shd w:val="clear" w:color="auto" w:fill="FFFFFF" w:themeFill="background1"/>
        <w:spacing w:after="0" w:line="226" w:lineRule="atLeast"/>
      </w:pPr>
      <w:r w:rsidRPr="0032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Решение Рабочей группы принимается открытым голосованием простым большинством голосов от числа присутствующих членов Рабочей группы и оформляется в виде протокола, который подписывает председатель Комиссии, а в его отсутствие – заместитель, председательствующий на заседании. В случае равенства голосов голос председательствующего является решающим.</w:t>
      </w:r>
      <w:r w:rsidR="00AB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325C81" w:rsidSect="00325C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DD3"/>
    <w:multiLevelType w:val="multilevel"/>
    <w:tmpl w:val="A5E4A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D3F1D"/>
    <w:multiLevelType w:val="multilevel"/>
    <w:tmpl w:val="D89097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D4C87"/>
    <w:multiLevelType w:val="multilevel"/>
    <w:tmpl w:val="474800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12E94"/>
    <w:multiLevelType w:val="multilevel"/>
    <w:tmpl w:val="41A6E4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751F6"/>
    <w:multiLevelType w:val="hybridMultilevel"/>
    <w:tmpl w:val="2710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536DE"/>
    <w:multiLevelType w:val="multilevel"/>
    <w:tmpl w:val="DADC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A1E7F"/>
    <w:multiLevelType w:val="multilevel"/>
    <w:tmpl w:val="4CF2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0308FC"/>
    <w:multiLevelType w:val="multilevel"/>
    <w:tmpl w:val="DC40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722F53"/>
    <w:multiLevelType w:val="multilevel"/>
    <w:tmpl w:val="5DBE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D4E9C"/>
    <w:multiLevelType w:val="multilevel"/>
    <w:tmpl w:val="0584EF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AE0F22"/>
    <w:multiLevelType w:val="multilevel"/>
    <w:tmpl w:val="793A0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CB363C"/>
    <w:multiLevelType w:val="multilevel"/>
    <w:tmpl w:val="AEF0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5C81"/>
    <w:rsid w:val="0006166F"/>
    <w:rsid w:val="003220BE"/>
    <w:rsid w:val="00325C81"/>
    <w:rsid w:val="00370D7C"/>
    <w:rsid w:val="00767702"/>
    <w:rsid w:val="00823567"/>
    <w:rsid w:val="008D344E"/>
    <w:rsid w:val="008D3A00"/>
    <w:rsid w:val="00A922CC"/>
    <w:rsid w:val="00AB7AC7"/>
    <w:rsid w:val="00C7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BE"/>
  </w:style>
  <w:style w:type="paragraph" w:styleId="1">
    <w:name w:val="heading 1"/>
    <w:basedOn w:val="a"/>
    <w:link w:val="10"/>
    <w:uiPriority w:val="9"/>
    <w:qFormat/>
    <w:rsid w:val="00325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25C81"/>
    <w:rPr>
      <w:b/>
      <w:bCs/>
    </w:rPr>
  </w:style>
  <w:style w:type="character" w:styleId="a5">
    <w:name w:val="Emphasis"/>
    <w:basedOn w:val="a0"/>
    <w:uiPriority w:val="20"/>
    <w:qFormat/>
    <w:rsid w:val="00325C81"/>
    <w:rPr>
      <w:i/>
      <w:iCs/>
    </w:rPr>
  </w:style>
  <w:style w:type="paragraph" w:styleId="a6">
    <w:name w:val="List Paragraph"/>
    <w:basedOn w:val="a"/>
    <w:uiPriority w:val="34"/>
    <w:qFormat/>
    <w:rsid w:val="00325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</cp:revision>
  <dcterms:created xsi:type="dcterms:W3CDTF">2021-05-07T04:34:00Z</dcterms:created>
  <dcterms:modified xsi:type="dcterms:W3CDTF">2021-05-12T04:45:00Z</dcterms:modified>
</cp:coreProperties>
</file>